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32" w:rsidRPr="00511CE2" w:rsidRDefault="00793832" w:rsidP="00511CE2">
      <w:pPr>
        <w:pStyle w:val="NoSpacing"/>
        <w:ind w:firstLine="426"/>
        <w:jc w:val="center"/>
        <w:rPr>
          <w:rFonts w:ascii="Times New Roman" w:hAnsi="Times New Roman"/>
          <w:b/>
          <w:sz w:val="28"/>
          <w:szCs w:val="28"/>
        </w:rPr>
      </w:pPr>
      <w:r w:rsidRPr="00511CE2">
        <w:rPr>
          <w:rFonts w:ascii="Times New Roman" w:hAnsi="Times New Roman"/>
          <w:b/>
          <w:sz w:val="28"/>
          <w:szCs w:val="28"/>
        </w:rPr>
        <w:t>ПРОФОРІЄНТАЦІЯ СЬОГОДНІ ЗАРАДИ УСПІХУ ЗАВТРА</w:t>
      </w:r>
    </w:p>
    <w:p w:rsidR="00793832" w:rsidRDefault="00793832" w:rsidP="005C16B7">
      <w:pPr>
        <w:pStyle w:val="NoSpacing"/>
        <w:ind w:firstLine="426"/>
        <w:jc w:val="both"/>
        <w:rPr>
          <w:rFonts w:ascii="Times New Roman" w:hAnsi="Times New Roman"/>
          <w:sz w:val="28"/>
          <w:szCs w:val="28"/>
        </w:rPr>
      </w:pPr>
    </w:p>
    <w:p w:rsidR="00793832" w:rsidRDefault="00793832" w:rsidP="005C16B7">
      <w:pPr>
        <w:pStyle w:val="NoSpacing"/>
        <w:ind w:firstLine="426"/>
        <w:jc w:val="both"/>
        <w:rPr>
          <w:rFonts w:ascii="Times New Roman" w:hAnsi="Times New Roman"/>
          <w:sz w:val="28"/>
          <w:szCs w:val="28"/>
        </w:rPr>
      </w:pPr>
      <w:r>
        <w:rPr>
          <w:rFonts w:ascii="Times New Roman" w:hAnsi="Times New Roman"/>
          <w:sz w:val="28"/>
          <w:szCs w:val="28"/>
        </w:rPr>
        <w:t>17 травня в Київській області відбулися останні заходи в рамках оголошеного 19 квітня Місячника професійної орієнтації для учнів 8-11 класів закладів загальної середньої освіти. Тож час підбити підсумки.</w:t>
      </w:r>
    </w:p>
    <w:p w:rsidR="00793832" w:rsidRDefault="00793832" w:rsidP="005C16B7">
      <w:pPr>
        <w:pStyle w:val="NoSpacing"/>
        <w:ind w:firstLine="426"/>
        <w:jc w:val="both"/>
        <w:rPr>
          <w:rFonts w:ascii="Times New Roman" w:hAnsi="Times New Roman"/>
          <w:sz w:val="28"/>
          <w:szCs w:val="28"/>
        </w:rPr>
      </w:pPr>
      <w:r>
        <w:rPr>
          <w:rFonts w:ascii="Times New Roman" w:hAnsi="Times New Roman"/>
          <w:sz w:val="28"/>
          <w:szCs w:val="28"/>
        </w:rPr>
        <w:t xml:space="preserve">Чому було прийнято рішення про проведення окремого Місячника профорієнтації, адже служба зайнятості – організація, що надає у щоденному режимі профорієнтаційні послуги всім, хто прагне обрати чи змінити професію, а зараз в часи пандемії, такі послуги надаються навіть у дистанційному форматі? </w:t>
      </w:r>
    </w:p>
    <w:p w:rsidR="00793832" w:rsidRDefault="00793832" w:rsidP="005C16B7">
      <w:pPr>
        <w:pStyle w:val="NoSpacing"/>
        <w:ind w:firstLine="426"/>
        <w:jc w:val="both"/>
        <w:rPr>
          <w:rFonts w:ascii="Times New Roman" w:hAnsi="Times New Roman"/>
          <w:sz w:val="28"/>
          <w:szCs w:val="28"/>
        </w:rPr>
      </w:pPr>
      <w:r>
        <w:rPr>
          <w:rFonts w:ascii="Times New Roman" w:hAnsi="Times New Roman"/>
          <w:sz w:val="28"/>
          <w:szCs w:val="28"/>
        </w:rPr>
        <w:t xml:space="preserve">Як зазначає директор Київського обласного центру зайнятості Денис Дармостук, все просто: значна частина майбутніх випускників за практично лічені тижні до свого останнього дзвоника, досі не мають відповіді на питання «Ким бути?». Це той випадок, коли прийняття рішення відкладається на «потім» та «наостанок». Дивно, але схожу стратегію іноді демонструють навіть дорослі, батьки завтрашніх випускників та їх педагоги. Сама назва – Місячник профорієнтації – організовує та мобілізує пізнавальну діяльність цільових груп заходів.  </w:t>
      </w:r>
    </w:p>
    <w:p w:rsidR="00793832" w:rsidRDefault="00793832" w:rsidP="005C16B7">
      <w:pPr>
        <w:pStyle w:val="NoSpacing"/>
        <w:ind w:firstLine="426"/>
        <w:jc w:val="both"/>
        <w:rPr>
          <w:rFonts w:ascii="Times New Roman" w:hAnsi="Times New Roman"/>
          <w:sz w:val="28"/>
          <w:szCs w:val="28"/>
        </w:rPr>
      </w:pPr>
      <w:r>
        <w:rPr>
          <w:rFonts w:ascii="Times New Roman" w:hAnsi="Times New Roman"/>
          <w:sz w:val="28"/>
          <w:szCs w:val="28"/>
        </w:rPr>
        <w:t xml:space="preserve"> З іншого боку, ринок праці перенасичений, наприклад, юристами, фінансистами, економістами.  А скільки вакансій, для зазначених фахівців? Беремо офіційну статистику: на всю Київську область в службі зайнятості «назбиралися» 503 вакансії для юристів і 1540 вакансій – у царині економіки та фінансів.  Офіційно зареєстровані як безробітні і шукають роботу 2220 юристів і 7874 особи, що претендують на фінансово-економічні вакансії. Шляхом не складних математичних розрахунків можна отримати такі дані: на 1 вакансію претендують 4 для юристів і 5 осіб – для економістів-фінансистів!! </w:t>
      </w:r>
    </w:p>
    <w:p w:rsidR="00793832" w:rsidRDefault="00793832" w:rsidP="005C16B7">
      <w:pPr>
        <w:pStyle w:val="NoSpacing"/>
        <w:ind w:firstLine="426"/>
        <w:jc w:val="both"/>
        <w:rPr>
          <w:rFonts w:ascii="Times New Roman" w:hAnsi="Times New Roman"/>
          <w:sz w:val="28"/>
          <w:szCs w:val="28"/>
        </w:rPr>
      </w:pPr>
      <w:r>
        <w:rPr>
          <w:rFonts w:ascii="Times New Roman" w:hAnsi="Times New Roman"/>
          <w:sz w:val="28"/>
          <w:szCs w:val="28"/>
        </w:rPr>
        <w:t xml:space="preserve">Тож оголошуючи  Місячник, ми перш за все, прагнули ще раз нагадати дітям і їх батькам про важливість усвідомленого вибору професії, з урахуванням власних нахилів і стану ринку праці. Всі заходи Місячника переважно були розраховані на учнів випускних класів, тих, що вже будучи на початку дорослого життя, досі не визначилися із власним професійним майбутнім, не впевнені у правильності власного вибору або обрали професію без врахування перспективи прикладання праці. Інша цільова аудиторія – батьки майбутніх випускників, які  чи не найбільше впливають на професійний вибір власної дитини, і які також потребують певних знань, щоб більш виважено впливати на процес прийняття рішення.  </w:t>
      </w:r>
    </w:p>
    <w:p w:rsidR="00793832" w:rsidRDefault="00793832" w:rsidP="005C16B7">
      <w:pPr>
        <w:pStyle w:val="NoSpacing"/>
        <w:ind w:firstLine="426"/>
        <w:jc w:val="both"/>
        <w:rPr>
          <w:rFonts w:ascii="Times New Roman" w:hAnsi="Times New Roman"/>
          <w:color w:val="050505"/>
          <w:sz w:val="28"/>
          <w:szCs w:val="28"/>
          <w:lang w:eastAsia="uk-UA"/>
        </w:rPr>
      </w:pPr>
      <w:r>
        <w:rPr>
          <w:rFonts w:ascii="Times New Roman" w:hAnsi="Times New Roman"/>
          <w:sz w:val="28"/>
          <w:szCs w:val="28"/>
        </w:rPr>
        <w:t xml:space="preserve">Отже, за майже повний місяць для учнів 8-11 закладів загальної освіти проведені 215 онлайн профорієнтаційних заходів.  При цьому, учасники мали змогу як взяти участь у серії заходів, так і обрати окремі, цікаві для себе, теми. А обирати, повірте, було з чого! Ось повний перелік тем: </w:t>
      </w:r>
      <w:r w:rsidRPr="00AA1692">
        <w:rPr>
          <w:rFonts w:ascii="Times New Roman" w:hAnsi="Times New Roman"/>
          <w:color w:val="050505"/>
          <w:sz w:val="28"/>
          <w:szCs w:val="28"/>
          <w:lang w:eastAsia="uk-UA"/>
        </w:rPr>
        <w:t>«Професія – це МІЙ вибір», «Визначаємося з професією. З чого почати?», «Яке твоє покликання?», «Інтроверсія та екстраверсія у виборі професії», «Професійне самовизначення: розширюй свої можливості», «Хто я? Земля, вогонь, вода чи повітря? Або як бути собою та на своєму місці?», «Трансформування мрій у цілі та їх реалізація», «Хочу – Можу – Буду!», «Психолог – бренд і як його створити», «Територія твого успіху», «Вибір професії: стереотипи та їх спростування», «Коучинговий підхід, як інструмент професійного самовизначення», «Темперамент і вибір професії», «Вибір та зміна професії: сучасні тенденції професійної мобільності», «</w:t>
      </w:r>
      <w:r w:rsidRPr="00AA1692">
        <w:rPr>
          <w:rFonts w:ascii="Times New Roman" w:hAnsi="Times New Roman"/>
          <w:color w:val="050505"/>
          <w:sz w:val="28"/>
          <w:szCs w:val="28"/>
          <w:lang w:val="en-US" w:eastAsia="uk-UA"/>
        </w:rPr>
        <w:t>Soft</w:t>
      </w:r>
      <w:r w:rsidRPr="00AA1692">
        <w:rPr>
          <w:rFonts w:ascii="Times New Roman" w:hAnsi="Times New Roman"/>
          <w:color w:val="050505"/>
          <w:sz w:val="28"/>
          <w:szCs w:val="28"/>
          <w:lang w:eastAsia="uk-UA"/>
        </w:rPr>
        <w:t xml:space="preserve"> </w:t>
      </w:r>
      <w:r w:rsidRPr="00AA1692">
        <w:rPr>
          <w:rFonts w:ascii="Times New Roman" w:hAnsi="Times New Roman"/>
          <w:color w:val="050505"/>
          <w:sz w:val="28"/>
          <w:szCs w:val="28"/>
          <w:lang w:val="en-US" w:eastAsia="uk-UA"/>
        </w:rPr>
        <w:t>skills</w:t>
      </w:r>
      <w:r w:rsidRPr="00AA1692">
        <w:rPr>
          <w:rFonts w:ascii="Times New Roman" w:hAnsi="Times New Roman"/>
          <w:color w:val="050505"/>
          <w:sz w:val="28"/>
          <w:szCs w:val="28"/>
          <w:lang w:eastAsia="uk-UA"/>
        </w:rPr>
        <w:t>» або затребувані навички майбутнього», «Емоційний інтелект», «Штучний інтелект, мехатроніка і професії майбутнього», «Військовий: професія сьогодення та майбутнього»,  «Професії майбутнього для збалансованого природо</w:t>
      </w:r>
      <w:r>
        <w:rPr>
          <w:rFonts w:ascii="Times New Roman" w:hAnsi="Times New Roman"/>
          <w:color w:val="050505"/>
          <w:sz w:val="28"/>
          <w:szCs w:val="28"/>
          <w:lang w:eastAsia="uk-UA"/>
        </w:rPr>
        <w:t>-</w:t>
      </w:r>
      <w:r w:rsidRPr="00AA1692">
        <w:rPr>
          <w:rFonts w:ascii="Times New Roman" w:hAnsi="Times New Roman"/>
          <w:color w:val="050505"/>
          <w:sz w:val="28"/>
          <w:szCs w:val="28"/>
          <w:lang w:eastAsia="uk-UA"/>
        </w:rPr>
        <w:t>користування та аграрного сектору», «Охорона зд</w:t>
      </w:r>
      <w:r>
        <w:rPr>
          <w:rFonts w:ascii="Times New Roman" w:hAnsi="Times New Roman"/>
          <w:color w:val="050505"/>
          <w:sz w:val="28"/>
          <w:szCs w:val="28"/>
          <w:lang w:eastAsia="uk-UA"/>
        </w:rPr>
        <w:t xml:space="preserve">оров’я: професії майбутнього», </w:t>
      </w:r>
      <w:r w:rsidRPr="00AA1692">
        <w:rPr>
          <w:rFonts w:ascii="Times New Roman" w:hAnsi="Times New Roman"/>
          <w:color w:val="050505"/>
          <w:sz w:val="28"/>
          <w:szCs w:val="28"/>
          <w:lang w:eastAsia="uk-UA"/>
        </w:rPr>
        <w:t>«Сучасні інструменти професійної орієнтації»</w:t>
      </w:r>
      <w:r>
        <w:rPr>
          <w:rFonts w:ascii="Times New Roman" w:hAnsi="Times New Roman"/>
          <w:color w:val="050505"/>
          <w:sz w:val="28"/>
          <w:szCs w:val="28"/>
          <w:lang w:eastAsia="uk-UA"/>
        </w:rPr>
        <w:t xml:space="preserve"> тощо.</w:t>
      </w:r>
    </w:p>
    <w:p w:rsidR="00793832" w:rsidRDefault="00793832" w:rsidP="005C16B7">
      <w:pPr>
        <w:pStyle w:val="NoSpacing"/>
        <w:ind w:firstLine="426"/>
        <w:jc w:val="both"/>
        <w:rPr>
          <w:rFonts w:ascii="Times New Roman" w:hAnsi="Times New Roman"/>
          <w:sz w:val="28"/>
          <w:szCs w:val="28"/>
          <w:lang w:eastAsia="uk-UA"/>
        </w:rPr>
      </w:pPr>
      <w:r w:rsidRPr="00FD5C68">
        <w:rPr>
          <w:rFonts w:ascii="Times New Roman" w:hAnsi="Times New Roman"/>
          <w:color w:val="050505"/>
          <w:sz w:val="28"/>
          <w:szCs w:val="28"/>
          <w:lang w:eastAsia="uk-UA"/>
        </w:rPr>
        <w:t xml:space="preserve">Всього до профорієнтаційного інтенсиву долучилися </w:t>
      </w:r>
      <w:r w:rsidRPr="00FD5C68">
        <w:rPr>
          <w:rFonts w:ascii="Times New Roman" w:hAnsi="Times New Roman"/>
          <w:sz w:val="28"/>
          <w:szCs w:val="28"/>
          <w:lang w:eastAsia="uk-UA"/>
        </w:rPr>
        <w:t>3525 учнів шкіл, з них – 918 восьмикласників, 1269 дев’ятикласників, 803 десятикласників та 475 учнів 11 класів.</w:t>
      </w:r>
      <w:r>
        <w:rPr>
          <w:rFonts w:ascii="Times New Roman" w:hAnsi="Times New Roman"/>
          <w:sz w:val="28"/>
          <w:szCs w:val="28"/>
          <w:lang w:eastAsia="uk-UA"/>
        </w:rPr>
        <w:t xml:space="preserve"> Разом із власними вихованцями в рамках Місячника працювали 230 педагогічних працівників.</w:t>
      </w:r>
    </w:p>
    <w:p w:rsidR="00793832" w:rsidRDefault="00793832" w:rsidP="005C16B7">
      <w:pPr>
        <w:pStyle w:val="NoSpacing"/>
        <w:ind w:firstLine="426"/>
        <w:jc w:val="both"/>
        <w:rPr>
          <w:rFonts w:ascii="Times New Roman" w:hAnsi="Times New Roman"/>
          <w:sz w:val="28"/>
          <w:szCs w:val="28"/>
          <w:lang w:eastAsia="uk-UA"/>
        </w:rPr>
      </w:pPr>
      <w:r>
        <w:rPr>
          <w:rFonts w:ascii="Times New Roman" w:hAnsi="Times New Roman"/>
          <w:sz w:val="28"/>
          <w:szCs w:val="28"/>
          <w:lang w:eastAsia="uk-UA"/>
        </w:rPr>
        <w:t>На жаль, батьки майбутніх випускників виняткової активності (як учасники заходів) не продемонстрували. Правда, цьому є об’єктивне пояснення, адже фахівці Київської обласної служби зайнятості ще з жовтня минулого року для батьків учнів старших класів проводять тематичний вебінар «Вибір професії: батьки + діти». Так у поточному році вже проведено 32 таких вебінари. Їх активними учасниками були 548 осіб. Профорієнтаційні завдання разом із батьками виконували 73 восьмикласники, 83 дев’ятикласники, 10 учнів 10 класів та 25 учнів 11 класу.</w:t>
      </w:r>
    </w:p>
    <w:p w:rsidR="00793832" w:rsidRDefault="00793832" w:rsidP="005C16B7">
      <w:pPr>
        <w:pStyle w:val="NoSpacing"/>
        <w:ind w:firstLine="426"/>
        <w:jc w:val="both"/>
        <w:rPr>
          <w:rFonts w:ascii="Times New Roman" w:hAnsi="Times New Roman"/>
          <w:sz w:val="28"/>
          <w:szCs w:val="28"/>
          <w:lang w:eastAsia="uk-UA"/>
        </w:rPr>
      </w:pPr>
      <w:r>
        <w:rPr>
          <w:rFonts w:ascii="Times New Roman" w:hAnsi="Times New Roman"/>
          <w:sz w:val="28"/>
          <w:szCs w:val="28"/>
          <w:lang w:eastAsia="uk-UA"/>
        </w:rPr>
        <w:t xml:space="preserve">До речі, для багатьох учнів шкіл, їх батьків та педагогів не секрет, що служба зайнятості надає можливість пройти профорієнтаційне тестування в режимі онлайн. Після проходження тесту респондент одразу отримує результат, але якщо є додаткові питання чи потрібна більш ґрунтовна профорієнтаційна допомога, до роботи стають профконсультанти обласної служби зайнятості. Такі послуги доступні у щоденному режимі, тим більше, </w:t>
      </w:r>
      <w:r w:rsidRPr="0013268B">
        <w:rPr>
          <w:rFonts w:ascii="Times New Roman" w:hAnsi="Times New Roman"/>
          <w:sz w:val="28"/>
          <w:szCs w:val="28"/>
          <w:lang w:eastAsia="uk-UA"/>
        </w:rPr>
        <w:t>під час Місячника профорієнтації. Тож загалом послугою онлайн тестування скористалися 235 старшокласників</w:t>
      </w:r>
      <w:r>
        <w:rPr>
          <w:rFonts w:ascii="Times New Roman" w:hAnsi="Times New Roman"/>
          <w:sz w:val="28"/>
          <w:szCs w:val="28"/>
          <w:lang w:eastAsia="uk-UA"/>
        </w:rPr>
        <w:t xml:space="preserve">, з них 47 звернулися за поглибленими консультаціями до профконсультантів регіональної служби зайнятості. </w:t>
      </w:r>
    </w:p>
    <w:p w:rsidR="00793832" w:rsidRDefault="00793832" w:rsidP="004A268B">
      <w:pPr>
        <w:ind w:firstLine="426"/>
        <w:jc w:val="both"/>
        <w:rPr>
          <w:rFonts w:ascii="Times New Roman" w:hAnsi="Times New Roman"/>
          <w:sz w:val="28"/>
          <w:szCs w:val="28"/>
        </w:rPr>
      </w:pPr>
      <w:r>
        <w:rPr>
          <w:rFonts w:ascii="Times New Roman" w:hAnsi="Times New Roman"/>
          <w:sz w:val="28"/>
          <w:szCs w:val="28"/>
          <w:lang w:eastAsia="uk-UA"/>
        </w:rPr>
        <w:t xml:space="preserve">Тож підсумки підведено! Нагадуємо, шановні друзі, що </w:t>
      </w:r>
      <w:r>
        <w:rPr>
          <w:rFonts w:ascii="Times New Roman" w:hAnsi="Times New Roman"/>
          <w:sz w:val="28"/>
          <w:szCs w:val="28"/>
        </w:rPr>
        <w:t>отримати профорієнтаційні послуги можна незалежно від місця проживання, просто звернувшись до підрозділу обласної служби зайнятості. Також радимо цікавитися новинами на офіційному сайті державної служби зайнятості (</w:t>
      </w:r>
      <w:hyperlink r:id="rId6" w:history="1">
        <w:r w:rsidRPr="00E95FC8">
          <w:rPr>
            <w:rStyle w:val="Hyperlink"/>
            <w:rFonts w:ascii="Times New Roman" w:hAnsi="Times New Roman"/>
            <w:sz w:val="28"/>
            <w:szCs w:val="28"/>
            <w:lang w:val="en-US"/>
          </w:rPr>
          <w:t>www</w:t>
        </w:r>
        <w:r w:rsidRPr="00E95FC8">
          <w:rPr>
            <w:rStyle w:val="Hyperlink"/>
            <w:rFonts w:ascii="Times New Roman" w:hAnsi="Times New Roman"/>
            <w:sz w:val="28"/>
            <w:szCs w:val="28"/>
          </w:rPr>
          <w:t>.</w:t>
        </w:r>
        <w:r w:rsidRPr="00E95FC8">
          <w:rPr>
            <w:rStyle w:val="Hyperlink"/>
            <w:rFonts w:ascii="Times New Roman" w:hAnsi="Times New Roman"/>
            <w:sz w:val="28"/>
            <w:szCs w:val="28"/>
            <w:lang w:val="en-US"/>
          </w:rPr>
          <w:t>dcz</w:t>
        </w:r>
        <w:r w:rsidRPr="00E95FC8">
          <w:rPr>
            <w:rStyle w:val="Hyperlink"/>
            <w:rFonts w:ascii="Times New Roman" w:hAnsi="Times New Roman"/>
            <w:sz w:val="28"/>
            <w:szCs w:val="28"/>
          </w:rPr>
          <w:t>.</w:t>
        </w:r>
        <w:r w:rsidRPr="00E95FC8">
          <w:rPr>
            <w:rStyle w:val="Hyperlink"/>
            <w:rFonts w:ascii="Times New Roman" w:hAnsi="Times New Roman"/>
            <w:sz w:val="28"/>
            <w:szCs w:val="28"/>
            <w:lang w:val="en-US"/>
          </w:rPr>
          <w:t>gov</w:t>
        </w:r>
        <w:r w:rsidRPr="00E95FC8">
          <w:rPr>
            <w:rStyle w:val="Hyperlink"/>
            <w:rFonts w:ascii="Times New Roman" w:hAnsi="Times New Roman"/>
            <w:sz w:val="28"/>
            <w:szCs w:val="28"/>
          </w:rPr>
          <w:t>.</w:t>
        </w:r>
        <w:r w:rsidRPr="00E95FC8">
          <w:rPr>
            <w:rStyle w:val="Hyperlink"/>
            <w:rFonts w:ascii="Times New Roman" w:hAnsi="Times New Roman"/>
            <w:sz w:val="28"/>
            <w:szCs w:val="28"/>
            <w:lang w:val="en-US"/>
          </w:rPr>
          <w:t>ua</w:t>
        </w:r>
      </w:hyperlink>
      <w:r>
        <w:rPr>
          <w:rFonts w:ascii="Times New Roman" w:hAnsi="Times New Roman"/>
          <w:sz w:val="28"/>
          <w:szCs w:val="28"/>
        </w:rPr>
        <w:t>), використовувати Платформу з профорієнтації та розвитку кар’єри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profi</w:t>
      </w:r>
      <w:r w:rsidRPr="00125EBB">
        <w:rPr>
          <w:rFonts w:ascii="Times New Roman" w:hAnsi="Times New Roman"/>
          <w:sz w:val="28"/>
          <w:szCs w:val="28"/>
        </w:rPr>
        <w:t>.</w:t>
      </w:r>
      <w:r>
        <w:rPr>
          <w:rFonts w:ascii="Times New Roman" w:hAnsi="Times New Roman"/>
          <w:sz w:val="28"/>
          <w:szCs w:val="28"/>
          <w:lang w:val="en-US"/>
        </w:rPr>
        <w:t>dcz</w:t>
      </w:r>
      <w:r w:rsidRPr="00125EBB">
        <w:rPr>
          <w:rFonts w:ascii="Times New Roman" w:hAnsi="Times New Roman"/>
          <w:sz w:val="28"/>
          <w:szCs w:val="28"/>
        </w:rPr>
        <w:t>.</w:t>
      </w:r>
      <w:r>
        <w:rPr>
          <w:rFonts w:ascii="Times New Roman" w:hAnsi="Times New Roman"/>
          <w:sz w:val="28"/>
          <w:szCs w:val="28"/>
          <w:lang w:val="en-US"/>
        </w:rPr>
        <w:t>gov</w:t>
      </w:r>
      <w:r w:rsidRPr="00125EBB">
        <w:rPr>
          <w:rFonts w:ascii="Times New Roman" w:hAnsi="Times New Roman"/>
          <w:sz w:val="28"/>
          <w:szCs w:val="28"/>
        </w:rPr>
        <w:t>.</w:t>
      </w:r>
      <w:r>
        <w:rPr>
          <w:rFonts w:ascii="Times New Roman" w:hAnsi="Times New Roman"/>
          <w:sz w:val="28"/>
          <w:szCs w:val="28"/>
          <w:lang w:val="en-US"/>
        </w:rPr>
        <w:t>ua</w:t>
      </w:r>
      <w:r>
        <w:rPr>
          <w:rFonts w:ascii="Times New Roman" w:hAnsi="Times New Roman"/>
          <w:sz w:val="28"/>
          <w:szCs w:val="28"/>
        </w:rPr>
        <w:t>/</w:t>
      </w:r>
      <w:r w:rsidRPr="00125EBB">
        <w:rPr>
          <w:rFonts w:ascii="Times New Roman" w:hAnsi="Times New Roman"/>
          <w:sz w:val="28"/>
          <w:szCs w:val="28"/>
        </w:rPr>
        <w:t xml:space="preserve">) </w:t>
      </w:r>
      <w:r>
        <w:rPr>
          <w:rFonts w:ascii="Times New Roman" w:hAnsi="Times New Roman"/>
          <w:sz w:val="28"/>
          <w:szCs w:val="28"/>
        </w:rPr>
        <w:t xml:space="preserve">і  слідкувати за сторінкою Київського обласного центру зайнятості у Фейсбуці. </w:t>
      </w:r>
    </w:p>
    <w:p w:rsidR="00793832" w:rsidRDefault="00793832" w:rsidP="004A268B">
      <w:pPr>
        <w:ind w:firstLine="426"/>
        <w:jc w:val="both"/>
        <w:rPr>
          <w:rFonts w:ascii="Times New Roman" w:hAnsi="Times New Roman"/>
          <w:sz w:val="28"/>
          <w:szCs w:val="28"/>
        </w:rPr>
      </w:pPr>
      <w:r w:rsidRPr="00FD5C68">
        <w:rPr>
          <w:rFonts w:ascii="Times New Roman" w:hAnsi="Times New Roman"/>
          <w:sz w:val="28"/>
          <w:szCs w:val="28"/>
        </w:rPr>
        <w:t>Презентацію можливостей дистанційної профорієнтації можна переглянути тут.</w:t>
      </w:r>
      <w:bookmarkStart w:id="0" w:name="_GoBack"/>
      <w:bookmarkEnd w:id="0"/>
      <w:r>
        <w:rPr>
          <w:rFonts w:ascii="Times New Roman" w:hAnsi="Times New Roman"/>
          <w:sz w:val="28"/>
          <w:szCs w:val="28"/>
        </w:rPr>
        <w:t xml:space="preserve"> </w:t>
      </w:r>
      <w:hyperlink r:id="rId7" w:history="1">
        <w:r w:rsidRPr="00D719D1">
          <w:rPr>
            <w:rStyle w:val="Hyperlink"/>
            <w:rFonts w:ascii="Times New Roman" w:hAnsi="Times New Roman"/>
            <w:sz w:val="28"/>
            <w:szCs w:val="28"/>
          </w:rPr>
          <w:t>https://www.facebook.com/814213325352780/videos/121032293308375</w:t>
        </w:r>
      </w:hyperlink>
    </w:p>
    <w:p w:rsidR="00793832" w:rsidRPr="00445210" w:rsidRDefault="00793832" w:rsidP="004A268B">
      <w:pPr>
        <w:ind w:firstLine="426"/>
        <w:jc w:val="both"/>
        <w:rPr>
          <w:rFonts w:ascii="Times New Roman" w:hAnsi="Times New Roman"/>
          <w:sz w:val="28"/>
          <w:szCs w:val="28"/>
        </w:rPr>
      </w:pPr>
    </w:p>
    <w:p w:rsidR="00793832" w:rsidRDefault="00793832" w:rsidP="005C16B7">
      <w:pPr>
        <w:pStyle w:val="NoSpacing"/>
        <w:ind w:firstLine="426"/>
        <w:jc w:val="both"/>
        <w:rPr>
          <w:rFonts w:ascii="Times New Roman" w:hAnsi="Times New Roman"/>
          <w:sz w:val="28"/>
          <w:szCs w:val="28"/>
          <w:lang w:eastAsia="uk-UA"/>
        </w:rPr>
      </w:pPr>
      <w:r>
        <w:rPr>
          <w:rFonts w:ascii="Times New Roman" w:hAnsi="Times New Roman"/>
          <w:sz w:val="28"/>
          <w:szCs w:val="28"/>
          <w:lang w:eastAsia="uk-UA"/>
        </w:rPr>
        <w:t xml:space="preserve"> </w:t>
      </w:r>
    </w:p>
    <w:p w:rsidR="00793832" w:rsidRDefault="00793832" w:rsidP="005C16B7">
      <w:pPr>
        <w:pStyle w:val="NoSpacing"/>
        <w:ind w:firstLine="426"/>
        <w:jc w:val="both"/>
        <w:rPr>
          <w:rFonts w:ascii="Times New Roman" w:hAnsi="Times New Roman"/>
          <w:sz w:val="28"/>
          <w:szCs w:val="28"/>
          <w:lang w:eastAsia="uk-UA"/>
        </w:rPr>
      </w:pPr>
      <w:r>
        <w:rPr>
          <w:rFonts w:ascii="Times New Roman" w:hAnsi="Times New Roman"/>
          <w:sz w:val="28"/>
          <w:szCs w:val="28"/>
          <w:lang w:eastAsia="uk-UA"/>
        </w:rPr>
        <w:t xml:space="preserve"> </w:t>
      </w:r>
    </w:p>
    <w:p w:rsidR="00793832" w:rsidRDefault="00793832" w:rsidP="005C16B7">
      <w:pPr>
        <w:pStyle w:val="NoSpacing"/>
        <w:ind w:firstLine="426"/>
        <w:jc w:val="both"/>
        <w:rPr>
          <w:rFonts w:ascii="Times New Roman" w:hAnsi="Times New Roman"/>
          <w:color w:val="050505"/>
          <w:sz w:val="28"/>
          <w:szCs w:val="28"/>
          <w:lang w:eastAsia="uk-UA"/>
        </w:rPr>
      </w:pPr>
      <w:r>
        <w:rPr>
          <w:rFonts w:ascii="Times New Roman" w:hAnsi="Times New Roman"/>
          <w:sz w:val="28"/>
          <w:szCs w:val="28"/>
          <w:lang w:eastAsia="uk-UA"/>
        </w:rPr>
        <w:t xml:space="preserve"> </w:t>
      </w:r>
    </w:p>
    <w:p w:rsidR="00793832" w:rsidRDefault="00793832" w:rsidP="005C16B7">
      <w:pPr>
        <w:pStyle w:val="NoSpacing"/>
        <w:ind w:firstLine="426"/>
        <w:jc w:val="both"/>
        <w:rPr>
          <w:rFonts w:ascii="Times New Roman" w:hAnsi="Times New Roman"/>
          <w:color w:val="050505"/>
          <w:sz w:val="28"/>
          <w:szCs w:val="28"/>
          <w:lang w:eastAsia="uk-UA"/>
        </w:rPr>
      </w:pPr>
    </w:p>
    <w:p w:rsidR="00793832" w:rsidRDefault="00793832" w:rsidP="005C16B7">
      <w:pPr>
        <w:pStyle w:val="NoSpacing"/>
        <w:ind w:firstLine="426"/>
        <w:jc w:val="both"/>
        <w:rPr>
          <w:rFonts w:ascii="Times New Roman" w:hAnsi="Times New Roman"/>
          <w:color w:val="050505"/>
          <w:sz w:val="28"/>
          <w:szCs w:val="28"/>
          <w:lang w:eastAsia="uk-UA"/>
        </w:rPr>
      </w:pPr>
    </w:p>
    <w:p w:rsidR="00793832" w:rsidRDefault="00793832" w:rsidP="005C16B7">
      <w:pPr>
        <w:pStyle w:val="NoSpacing"/>
        <w:ind w:firstLine="426"/>
        <w:jc w:val="both"/>
        <w:rPr>
          <w:rFonts w:ascii="Times New Roman" w:hAnsi="Times New Roman"/>
          <w:color w:val="050505"/>
          <w:sz w:val="28"/>
          <w:szCs w:val="28"/>
          <w:lang w:eastAsia="uk-UA"/>
        </w:rPr>
      </w:pPr>
    </w:p>
    <w:p w:rsidR="00793832" w:rsidRDefault="00793832" w:rsidP="005C16B7">
      <w:pPr>
        <w:pStyle w:val="NoSpacing"/>
        <w:ind w:firstLine="426"/>
        <w:jc w:val="both"/>
        <w:rPr>
          <w:rFonts w:ascii="Times New Roman" w:hAnsi="Times New Roman"/>
          <w:color w:val="050505"/>
          <w:sz w:val="28"/>
          <w:szCs w:val="28"/>
          <w:lang w:eastAsia="uk-UA"/>
        </w:rPr>
      </w:pPr>
    </w:p>
    <w:p w:rsidR="00793832" w:rsidRPr="00AA1692" w:rsidRDefault="00793832" w:rsidP="005C16B7">
      <w:pPr>
        <w:pStyle w:val="NoSpacing"/>
        <w:ind w:firstLine="426"/>
        <w:jc w:val="both"/>
        <w:rPr>
          <w:rFonts w:ascii="Times New Roman" w:hAnsi="Times New Roman"/>
          <w:sz w:val="28"/>
          <w:szCs w:val="28"/>
        </w:rPr>
      </w:pPr>
      <w:r w:rsidRPr="00AA1692">
        <w:rPr>
          <w:rFonts w:ascii="Times New Roman" w:hAnsi="Times New Roman"/>
          <w:sz w:val="28"/>
          <w:szCs w:val="28"/>
        </w:rPr>
        <w:t xml:space="preserve"> </w:t>
      </w:r>
    </w:p>
    <w:sectPr w:rsidR="00793832" w:rsidRPr="00AA1692" w:rsidSect="00511CE2">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832" w:rsidRDefault="00793832" w:rsidP="00511CE2">
      <w:pPr>
        <w:spacing w:after="0" w:line="240" w:lineRule="auto"/>
      </w:pPr>
      <w:r>
        <w:separator/>
      </w:r>
    </w:p>
  </w:endnote>
  <w:endnote w:type="continuationSeparator" w:id="0">
    <w:p w:rsidR="00793832" w:rsidRDefault="00793832" w:rsidP="00511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832" w:rsidRDefault="00793832" w:rsidP="00511CE2">
      <w:pPr>
        <w:spacing w:after="0" w:line="240" w:lineRule="auto"/>
      </w:pPr>
      <w:r>
        <w:separator/>
      </w:r>
    </w:p>
  </w:footnote>
  <w:footnote w:type="continuationSeparator" w:id="0">
    <w:p w:rsidR="00793832" w:rsidRDefault="00793832" w:rsidP="00511C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832" w:rsidRDefault="00793832">
    <w:pPr>
      <w:pStyle w:val="Header"/>
      <w:jc w:val="center"/>
    </w:pPr>
    <w:fldSimple w:instr="PAGE   \* MERGEFORMAT">
      <w:r w:rsidRPr="00445210">
        <w:rPr>
          <w:noProof/>
          <w:lang w:val="ru-RU"/>
        </w:rPr>
        <w:t>2</w:t>
      </w:r>
    </w:fldSimple>
  </w:p>
  <w:p w:rsidR="00793832" w:rsidRDefault="007938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6B7"/>
    <w:rsid w:val="00072F14"/>
    <w:rsid w:val="00113ED3"/>
    <w:rsid w:val="00125EBB"/>
    <w:rsid w:val="0013268B"/>
    <w:rsid w:val="00154DAF"/>
    <w:rsid w:val="001A3AB2"/>
    <w:rsid w:val="00302F03"/>
    <w:rsid w:val="003C6C10"/>
    <w:rsid w:val="003D5C91"/>
    <w:rsid w:val="00430ECE"/>
    <w:rsid w:val="00445210"/>
    <w:rsid w:val="004A268B"/>
    <w:rsid w:val="004A2D6D"/>
    <w:rsid w:val="004A62F1"/>
    <w:rsid w:val="004B0919"/>
    <w:rsid w:val="004D14FD"/>
    <w:rsid w:val="004F13E0"/>
    <w:rsid w:val="00511CE2"/>
    <w:rsid w:val="00564772"/>
    <w:rsid w:val="005C16B7"/>
    <w:rsid w:val="00691375"/>
    <w:rsid w:val="00736224"/>
    <w:rsid w:val="00793832"/>
    <w:rsid w:val="007E51C7"/>
    <w:rsid w:val="00843F0B"/>
    <w:rsid w:val="008B4761"/>
    <w:rsid w:val="0094433D"/>
    <w:rsid w:val="009A5FE8"/>
    <w:rsid w:val="00A46838"/>
    <w:rsid w:val="00AA1692"/>
    <w:rsid w:val="00AE61FD"/>
    <w:rsid w:val="00CC5DE8"/>
    <w:rsid w:val="00D420AB"/>
    <w:rsid w:val="00D44922"/>
    <w:rsid w:val="00D719D1"/>
    <w:rsid w:val="00E7073B"/>
    <w:rsid w:val="00E723F6"/>
    <w:rsid w:val="00E95FC8"/>
    <w:rsid w:val="00F24C3D"/>
    <w:rsid w:val="00F72E03"/>
    <w:rsid w:val="00FC4CF6"/>
    <w:rsid w:val="00FD5C6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8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C16B7"/>
    <w:rPr>
      <w:lang w:eastAsia="en-US"/>
    </w:rPr>
  </w:style>
  <w:style w:type="character" w:styleId="Hyperlink">
    <w:name w:val="Hyperlink"/>
    <w:basedOn w:val="DefaultParagraphFont"/>
    <w:uiPriority w:val="99"/>
    <w:rsid w:val="004A268B"/>
    <w:rPr>
      <w:rFonts w:cs="Times New Roman"/>
      <w:color w:val="0563C1"/>
      <w:u w:val="single"/>
    </w:rPr>
  </w:style>
  <w:style w:type="paragraph" w:styleId="Header">
    <w:name w:val="header"/>
    <w:basedOn w:val="Normal"/>
    <w:link w:val="HeaderChar"/>
    <w:uiPriority w:val="99"/>
    <w:rsid w:val="00511CE2"/>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511CE2"/>
    <w:rPr>
      <w:rFonts w:cs="Times New Roman"/>
    </w:rPr>
  </w:style>
  <w:style w:type="paragraph" w:styleId="Footer">
    <w:name w:val="footer"/>
    <w:basedOn w:val="Normal"/>
    <w:link w:val="FooterChar"/>
    <w:uiPriority w:val="99"/>
    <w:rsid w:val="00511CE2"/>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511CE2"/>
    <w:rPr>
      <w:rFonts w:cs="Times New Roman"/>
    </w:rPr>
  </w:style>
  <w:style w:type="paragraph" w:styleId="BalloonText">
    <w:name w:val="Balloon Text"/>
    <w:basedOn w:val="Normal"/>
    <w:link w:val="BalloonTextChar"/>
    <w:uiPriority w:val="99"/>
    <w:semiHidden/>
    <w:rsid w:val="00FD5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D5C6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814213325352780/videos/1210322933083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cz.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367</TotalTime>
  <Pages>3</Pages>
  <Words>3671</Words>
  <Characters>2093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Demjanjuk Tetjana Valerijivna</dc:creator>
  <cp:keywords/>
  <dc:description/>
  <cp:lastModifiedBy>KozarOB</cp:lastModifiedBy>
  <cp:revision>11</cp:revision>
  <cp:lastPrinted>2021-05-20T07:54:00Z</cp:lastPrinted>
  <dcterms:created xsi:type="dcterms:W3CDTF">2021-05-18T09:49:00Z</dcterms:created>
  <dcterms:modified xsi:type="dcterms:W3CDTF">2021-05-20T09:30:00Z</dcterms:modified>
</cp:coreProperties>
</file>