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6" w:rsidRDefault="00083D36">
      <w:r>
        <w:rPr>
          <w:noProof/>
          <w:lang w:eastAsia="uk-UA"/>
        </w:rPr>
        <w:drawing>
          <wp:inline distT="0" distB="0" distL="0" distR="0" wp14:anchorId="387E244E" wp14:editId="5A438DC4">
            <wp:extent cx="6733309" cy="9773285"/>
            <wp:effectExtent l="0" t="0" r="1079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4699" w:rsidRDefault="005556DE">
      <w:r>
        <w:rPr>
          <w:noProof/>
          <w:lang w:eastAsia="uk-UA"/>
        </w:rPr>
        <w:lastRenderedPageBreak/>
        <w:drawing>
          <wp:inline distT="0" distB="0" distL="0" distR="0" wp14:anchorId="6A562D05" wp14:editId="0709FFB2">
            <wp:extent cx="6757035" cy="9594991"/>
            <wp:effectExtent l="0" t="0" r="571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A4699" w:rsidSect="00083D3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7"/>
    <w:rsid w:val="00083D36"/>
    <w:rsid w:val="005556DE"/>
    <w:rsid w:val="009A4699"/>
    <w:rsid w:val="00AD0D04"/>
    <w:rsid w:val="00BB46A7"/>
    <w:rsid w:val="00C17C87"/>
    <w:rsid w:val="00C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D8A"/>
  <w15:chartTrackingRefBased/>
  <w15:docId w15:val="{CF194FAD-BC29-4E39-B00A-8BFA3E95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ПРОЕКТ БЮДЖЕТУ </a:t>
            </a:r>
          </a:p>
          <a:p>
            <a:pPr>
              <a:defRPr/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по доходах по Немішаївській селищній раді </a:t>
            </a:r>
          </a:p>
          <a:p>
            <a:pPr>
              <a:defRPr/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на 2021 рік</a:t>
            </a:r>
          </a:p>
          <a:p>
            <a:pPr>
              <a:defRPr/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власні надходження </a:t>
            </a:r>
          </a:p>
          <a:p>
            <a:pPr>
              <a:defRPr/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63657,20 тис.</a:t>
            </a:r>
            <a:r>
              <a:rPr lang="uk-UA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грн.</a:t>
            </a:r>
            <a:endParaRPr lang="uk-UA"/>
          </a:p>
        </c:rich>
      </c:tx>
      <c:layout>
        <c:manualLayout>
          <c:xMode val="edge"/>
          <c:yMode val="edge"/>
          <c:x val="1.8155610394027498E-3"/>
          <c:y val="7.796764342797739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27340234267377905"/>
          <c:y val="0.23260684611161958"/>
          <c:w val="0.44171593013799693"/>
          <c:h val="0.3230668233279555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1C-4483-BED3-44E804FF39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1C-4483-BED3-44E804FF39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1C-4483-BED3-44E804FF39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1C-4483-BED3-44E804FF39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1C-4483-BED3-44E804FF39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1C-4483-BED3-44E804FF39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B1C-4483-BED3-44E804FF39F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B1C-4483-BED3-44E804FF39F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B1C-4483-BED3-44E804FF39F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B1C-4483-BED3-44E804FF39F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B1C-4483-BED3-44E804FF39F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DB1C-4483-BED3-44E804FF39F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DB1C-4483-BED3-44E804FF39F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DB1C-4483-BED3-44E804FF39F9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DB1C-4483-BED3-44E804FF39F9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DB1C-4483-BED3-44E804FF39F9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DB1C-4483-BED3-44E804FF39F9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DB1C-4483-BED3-44E804FF39F9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DB1C-4483-BED3-44E804FF39F9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DB1C-4483-BED3-44E804FF39F9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DB1C-4483-BED3-44E804FF39F9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DB1C-4483-BED3-44E804FF39F9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DB1C-4483-BED3-44E804FF39F9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DB1C-4483-BED3-44E804FF39F9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DB1C-4483-BED3-44E804FF39F9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DB1C-4483-BED3-44E804FF39F9}"/>
              </c:ext>
            </c:extLst>
          </c:dPt>
          <c:dLbls>
            <c:dLbl>
              <c:idx val="0"/>
              <c:layout>
                <c:manualLayout>
                  <c:x val="2.4547305141974254E-2"/>
                  <c:y val="8.2263412860044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1C-4483-BED3-44E804FF39F9}"/>
                </c:ext>
              </c:extLst>
            </c:dLbl>
            <c:dLbl>
              <c:idx val="1"/>
              <c:layout>
                <c:manualLayout>
                  <c:x val="0.11928197796814727"/>
                  <c:y val="-4.8631964856204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1C-4483-BED3-44E804FF39F9}"/>
                </c:ext>
              </c:extLst>
            </c:dLbl>
            <c:dLbl>
              <c:idx val="2"/>
              <c:layout>
                <c:manualLayout>
                  <c:x val="8.3536047985543954E-2"/>
                  <c:y val="-7.59085642166060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1C-4483-BED3-44E804FF39F9}"/>
                </c:ext>
              </c:extLst>
            </c:dLbl>
            <c:dLbl>
              <c:idx val="3"/>
              <c:layout>
                <c:manualLayout>
                  <c:x val="8.3371996741174195E-2"/>
                  <c:y val="2.084262630275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1C-4483-BED3-44E804FF39F9}"/>
                </c:ext>
              </c:extLst>
            </c:dLbl>
            <c:dLbl>
              <c:idx val="4"/>
              <c:layout>
                <c:manualLayout>
                  <c:x val="0.20620146262376915"/>
                  <c:y val="1.8018826414998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B1C-4483-BED3-44E804FF39F9}"/>
                </c:ext>
              </c:extLst>
            </c:dLbl>
            <c:dLbl>
              <c:idx val="5"/>
              <c:layout>
                <c:manualLayout>
                  <c:x val="4.3789768737323327E-2"/>
                  <c:y val="4.0783818786690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B1C-4483-BED3-44E804FF39F9}"/>
                </c:ext>
              </c:extLst>
            </c:dLbl>
            <c:dLbl>
              <c:idx val="6"/>
              <c:layout>
                <c:manualLayout>
                  <c:x val="-3.6418118301888326E-2"/>
                  <c:y val="4.138033677125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B1C-4483-BED3-44E804FF39F9}"/>
                </c:ext>
              </c:extLst>
            </c:dLbl>
            <c:dLbl>
              <c:idx val="7"/>
              <c:layout>
                <c:manualLayout>
                  <c:x val="2.0157287922883335E-2"/>
                  <c:y val="8.712561352540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B1C-4483-BED3-44E804FF39F9}"/>
                </c:ext>
              </c:extLst>
            </c:dLbl>
            <c:dLbl>
              <c:idx val="9"/>
              <c:layout>
                <c:manualLayout>
                  <c:x val="-4.788712800806863E-2"/>
                  <c:y val="2.9226675210515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B1C-4483-BED3-44E804FF39F9}"/>
                </c:ext>
              </c:extLst>
            </c:dLbl>
            <c:dLbl>
              <c:idx val="10"/>
              <c:layout>
                <c:manualLayout>
                  <c:x val="-9.0982287349406984E-2"/>
                  <c:y val="8.1034873733779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B1C-4483-BED3-44E804FF39F9}"/>
                </c:ext>
              </c:extLst>
            </c:dLbl>
            <c:dLbl>
              <c:idx val="11"/>
              <c:layout>
                <c:manualLayout>
                  <c:x val="-0.15481612867182129"/>
                  <c:y val="-1.918240195703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B1C-4483-BED3-44E804FF39F9}"/>
                </c:ext>
              </c:extLst>
            </c:dLbl>
            <c:dLbl>
              <c:idx val="12"/>
              <c:layout>
                <c:manualLayout>
                  <c:x val="-1.7022481014231799E-2"/>
                  <c:y val="-1.0862234220172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B1C-4483-BED3-44E804FF39F9}"/>
                </c:ext>
              </c:extLst>
            </c:dLbl>
            <c:dLbl>
              <c:idx val="13"/>
              <c:layout>
                <c:manualLayout>
                  <c:x val="-5.1941865033997933E-2"/>
                  <c:y val="2.9729023235625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B1C-4483-BED3-44E804FF39F9}"/>
                </c:ext>
              </c:extLst>
            </c:dLbl>
            <c:dLbl>
              <c:idx val="14"/>
              <c:layout>
                <c:manualLayout>
                  <c:x val="-6.567111166362169E-2"/>
                  <c:y val="2.817879086854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B1C-4483-BED3-44E804FF39F9}"/>
                </c:ext>
              </c:extLst>
            </c:dLbl>
            <c:dLbl>
              <c:idx val="15"/>
              <c:layout>
                <c:manualLayout>
                  <c:x val="-7.5401414969731545E-2"/>
                  <c:y val="4.7846998711386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B1C-4483-BED3-44E804FF39F9}"/>
                </c:ext>
              </c:extLst>
            </c:dLbl>
            <c:dLbl>
              <c:idx val="16"/>
              <c:layout>
                <c:manualLayout>
                  <c:x val="-8.4157770383015626E-2"/>
                  <c:y val="-6.6379672807889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B1C-4483-BED3-44E804FF39F9}"/>
                </c:ext>
              </c:extLst>
            </c:dLbl>
            <c:dLbl>
              <c:idx val="17"/>
              <c:layout>
                <c:manualLayout>
                  <c:x val="-9.3334872469951688E-2"/>
                  <c:y val="6.902066929133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B1C-4483-BED3-44E804FF39F9}"/>
                </c:ext>
              </c:extLst>
            </c:dLbl>
            <c:dLbl>
              <c:idx val="18"/>
              <c:layout>
                <c:manualLayout>
                  <c:x val="-0.17802090709904567"/>
                  <c:y val="-1.24216671005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B1C-4483-BED3-44E804FF39F9}"/>
                </c:ext>
              </c:extLst>
            </c:dLbl>
            <c:dLbl>
              <c:idx val="19"/>
              <c:layout>
                <c:manualLayout>
                  <c:x val="-7.2895878147737875E-2"/>
                  <c:y val="-7.5310963818710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B1C-4483-BED3-44E804FF39F9}"/>
                </c:ext>
              </c:extLst>
            </c:dLbl>
            <c:dLbl>
              <c:idx val="20"/>
              <c:layout>
                <c:manualLayout>
                  <c:x val="-0.16724554482846404"/>
                  <c:y val="-6.018499526173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B1C-4483-BED3-44E804FF39F9}"/>
                </c:ext>
              </c:extLst>
            </c:dLbl>
            <c:dLbl>
              <c:idx val="21"/>
              <c:layout>
                <c:manualLayout>
                  <c:x val="-9.0971853779068265E-4"/>
                  <c:y val="-5.2959778061971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B1C-4483-BED3-44E804FF39F9}"/>
                </c:ext>
              </c:extLst>
            </c:dLbl>
            <c:dLbl>
              <c:idx val="22"/>
              <c:layout>
                <c:manualLayout>
                  <c:x val="8.3739983587475864E-2"/>
                  <c:y val="-6.635605012223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B1C-4483-BED3-44E804FF39F9}"/>
                </c:ext>
              </c:extLst>
            </c:dLbl>
            <c:dLbl>
              <c:idx val="23"/>
              <c:layout>
                <c:manualLayout>
                  <c:x val="0.16596835742304131"/>
                  <c:y val="-6.2208999942090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DB1C-4483-BED3-44E804FF39F9}"/>
                </c:ext>
              </c:extLst>
            </c:dLbl>
            <c:dLbl>
              <c:idx val="24"/>
              <c:layout>
                <c:manualLayout>
                  <c:x val="0.17201701633926714"/>
                  <c:y val="1.0312801215333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DB1C-4483-BED3-44E804FF39F9}"/>
                </c:ext>
              </c:extLst>
            </c:dLbl>
            <c:dLbl>
              <c:idx val="25"/>
              <c:layout>
                <c:manualLayout>
                  <c:x val="0.16598004894158458"/>
                  <c:y val="-1.992982714400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DB1C-4483-BED3-44E804FF39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'[Розрахунки_витрат_-ЗОШ__БЮДЖЕТ_на_2021-09-12-20.xls]Прогноз-Доходи-2021'!$B$9:$B$34</c:f>
              <c:strCache>
                <c:ptCount val="26"/>
                <c:pt idx="0">
                  <c:v>Податок на доходи фізичних осіб, що сплачується податковими агентами, із доходів платника податку у вигляді заробітної плати - 27374,8 тис. грн.</c:v>
                </c:pt>
                <c:pt idx="1">
                  <c:v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 - 230,1 тис. грн.</c:v>
                </c:pt>
                <c:pt idx="2">
                  <c:v>Податок на доходи фізичних осіб, що сплачується податковими агентами, із доходів платника податку інших ніж заробітна плата - 2549,0 тис. грн.</c:v>
                </c:pt>
                <c:pt idx="3">
                  <c:v>Податок на доходи фізичних осіб, що сплачується фізичними особами за результатами річного декларування - 362,6 тис. грн.</c:v>
                </c:pt>
                <c:pt idx="4">
                  <c:v>Податок на прибуток підприємств та фінансових установ комунальної власності - 2,9 тис .грн.</c:v>
                </c:pt>
                <c:pt idx="5">
                  <c:v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 - 640,7 тис. грн.</c:v>
                </c:pt>
                <c:pt idx="6">
                  <c:v>Рентна плата за користування надрами для видобування корисних копалин загальнодержавного значення - 1,0 тис. грн.</c:v>
                </c:pt>
                <c:pt idx="7">
                  <c:v>Акцизний податок з реалізації суб`єктами господарювання роздрібної торгівлі підакцизних товарів - 4514,4 тис.грн.</c:v>
                </c:pt>
                <c:pt idx="8">
                  <c:v>Податок на нерухоме майно, відмінне від земельної ділянки, сплачений юридичними особами, які є власниками об`єктів житлової нерухомості - 7,0 тис. грн.</c:v>
                </c:pt>
                <c:pt idx="9">
                  <c:v>Податок на нерухоме майно, відмінне від земельної ділянки, сплачений фізичними особами, які є власниками об`єктів житлової нерухомості - 193,7 тис.грн.</c:v>
                </c:pt>
                <c:pt idx="10">
                  <c:v>Податок на нерухоме майно, відмінне від земельної ділянки, сплачений фізичними особами, які є власниками об`єктів нежитлової нерухомості - 287,1 тис.грн.</c:v>
                </c:pt>
                <c:pt idx="11">
                  <c:v>Податок на нерухоме майно, відмінне від земельної ділянки, сплачений юридичними особами, які є власниками об`єктів нежитлової нерухомості - 1331,7 тис. грн.</c:v>
                </c:pt>
                <c:pt idx="12">
                  <c:v>Земельний податок з юридичних осіб - 4219,1 тис. грн.</c:v>
                </c:pt>
                <c:pt idx="13">
                  <c:v>Орендна плата з юридичних осіб - 3147,6 тис. грн.</c:v>
                </c:pt>
                <c:pt idx="14">
                  <c:v>Земельний податок з фізичних осіб - 360,7 тис. грн.</c:v>
                </c:pt>
                <c:pt idx="15">
                  <c:v>Орендна плата з фізичних осіб - 554,0 тис.грн.</c:v>
                </c:pt>
                <c:pt idx="16">
                  <c:v>Єдиний податок з юридичних осіб - 1617,5 тис. грн.  </c:v>
                </c:pt>
                <c:pt idx="17">
                  <c:v>Єдиний податок з фізичних осіб - 16009,7 тис. грн.</c:v>
                </c:pt>
                <c:pt idx="18">
                  <c:v>Частина чистого прибутку (доходу) комунальних унітарних підприємств та їх об`єднань, що вилучається до відповідного місцевого бюджету - 0,4 тис. грн.</c:v>
                </c:pt>
                <c:pt idx="19">
                  <c:v>Адміністративні штрафи та інші санкції - 7,6 тис .грн.</c:v>
                </c:pt>
                <c:pt idx="20">
                  <c:v>Адміністративні штрафи та штрафні санкції за порушення законодавства у сфері виробництва та обігу алкогольних напоїв та тютюнових виробів - 15,8 тис. грн.</c:v>
                </c:pt>
                <c:pt idx="21">
                  <c:v>Плата за надання інших адміністративних послуг - 28,4 тис.грн.</c:v>
                </c:pt>
                <c:pt idx="22">
                  <c:v>Адміністративний збір за державну реєстрацію речових прав на нерухоме майно та їх обтяжень - 11,2 тис.грн.</c:v>
                </c:pt>
                <c:pt idx="23">
                  <c:v>Надходження від орендної плати за користування цілісним майновим комплексом та іншим майном, що перебуває в комунальній власності - 180,0 тис. грн.</c:v>
                </c:pt>
                <c:pt idx="24">
                  <c:v>Державне мито, що сплачується за місцем розгляду та оформлення документів, у тому числі за оформлення документів на спадщину і дарування  - 0,2 тис. грн.</c:v>
                </c:pt>
                <c:pt idx="25">
                  <c:v>Інші надходження  - 10,0 тис .грн.</c:v>
                </c:pt>
              </c:strCache>
            </c:strRef>
          </c:cat>
          <c:val>
            <c:numRef>
              <c:f>'[Розрахунки_витрат_-ЗОШ__БЮДЖЕТ_на_2021-09-12-20.xls]Прогноз-Доходи-2021'!$Q$9:$Q$34</c:f>
              <c:numCache>
                <c:formatCode>0.00%</c:formatCode>
                <c:ptCount val="26"/>
                <c:pt idx="0">
                  <c:v>0.43003446316651744</c:v>
                </c:pt>
                <c:pt idx="1">
                  <c:v>3.6145218910608131E-3</c:v>
                </c:pt>
                <c:pt idx="2">
                  <c:v>4.0041958326924962E-2</c:v>
                </c:pt>
                <c:pt idx="3">
                  <c:v>5.6964905381723576E-3</c:v>
                </c:pt>
                <c:pt idx="4">
                  <c:v>4.5171312478828367E-5</c:v>
                </c:pt>
                <c:pt idx="5">
                  <c:v>1.006561407036439E-2</c:v>
                </c:pt>
                <c:pt idx="6">
                  <c:v>1.5835003738775816E-5</c:v>
                </c:pt>
                <c:pt idx="7">
                  <c:v>7.091702079262048E-2</c:v>
                </c:pt>
                <c:pt idx="8">
                  <c:v>1.0966721753391606E-4</c:v>
                </c:pt>
                <c:pt idx="9">
                  <c:v>3.0427404284197232E-3</c:v>
                </c:pt>
                <c:pt idx="10">
                  <c:v>4.5093399018492812E-3</c:v>
                </c:pt>
                <c:pt idx="11">
                  <c:v>2.0920315439573213E-2</c:v>
                </c:pt>
                <c:pt idx="12">
                  <c:v>6.6277926027649245E-2</c:v>
                </c:pt>
                <c:pt idx="13">
                  <c:v>4.9445503557977881E-2</c:v>
                </c:pt>
                <c:pt idx="14">
                  <c:v>5.665581041179089E-3</c:v>
                </c:pt>
                <c:pt idx="15">
                  <c:v>8.7020816612617697E-3</c:v>
                </c:pt>
                <c:pt idx="16">
                  <c:v>2.540925461548876E-2</c:v>
                </c:pt>
                <c:pt idx="17">
                  <c:v>0.25149916391947097</c:v>
                </c:pt>
                <c:pt idx="18">
                  <c:v>6.8548983675630786E-6</c:v>
                </c:pt>
                <c:pt idx="19">
                  <c:v>1.193894799017236E-4</c:v>
                </c:pt>
                <c:pt idx="20">
                  <c:v>2.4820444505884646E-4</c:v>
                </c:pt>
                <c:pt idx="21">
                  <c:v>4.4686734572051557E-4</c:v>
                </c:pt>
                <c:pt idx="22">
                  <c:v>1.7655818980413842E-4</c:v>
                </c:pt>
                <c:pt idx="23">
                  <c:v>2.82816963359997E-3</c:v>
                </c:pt>
                <c:pt idx="24">
                  <c:v>3.7837668009274676E-6</c:v>
                </c:pt>
                <c:pt idx="25">
                  <c:v>1.5709142092332055E-4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DB1C-4483-BED3-44E804FF3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6660503607538291"/>
          <c:w val="0.99217054154187534"/>
          <c:h val="0.333394963924616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 sz="18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ПРОЕКТ БЮДЖЕТУ</a:t>
            </a:r>
          </a:p>
          <a:p>
            <a:pPr>
              <a:defRPr sz="1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 доходах </a:t>
            </a:r>
          </a:p>
          <a:p>
            <a:pPr>
              <a:defRPr sz="1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 Немішаївській селищній раді на 2021 рік</a:t>
            </a:r>
          </a:p>
          <a:p>
            <a:pPr>
              <a:defRPr sz="1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135117,00</a:t>
            </a:r>
            <a:r>
              <a:rPr lang="uk-UA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тис.грн.</a:t>
            </a:r>
            <a:endParaRPr lang="uk-UA" sz="18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2412488613718887"/>
          <c:y val="0.26794363642995983"/>
          <c:w val="0.5287703852355361"/>
          <c:h val="0.372378932448136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64-4550-992F-32E3717005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64-4550-992F-32E3717005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A64-4550-992F-32E3717005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A64-4550-992F-32E3717005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A64-4550-992F-32E3717005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A64-4550-992F-32E3717005FC}"/>
              </c:ext>
            </c:extLst>
          </c:dPt>
          <c:dLbls>
            <c:dLbl>
              <c:idx val="0"/>
              <c:layout>
                <c:manualLayout>
                  <c:x val="2.1050445262134495E-3"/>
                  <c:y val="3.3784457724543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64-4550-992F-32E3717005FC}"/>
                </c:ext>
              </c:extLst>
            </c:dLbl>
            <c:dLbl>
              <c:idx val="1"/>
              <c:layout>
                <c:manualLayout>
                  <c:x val="-3.4812960809335353E-2"/>
                  <c:y val="-1.2797056719701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64-4550-992F-32E3717005FC}"/>
                </c:ext>
              </c:extLst>
            </c:dLbl>
            <c:dLbl>
              <c:idx val="2"/>
              <c:layout>
                <c:manualLayout>
                  <c:x val="-4.7105412244284411E-2"/>
                  <c:y val="7.35535093943875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64-4550-992F-32E3717005FC}"/>
                </c:ext>
              </c:extLst>
            </c:dLbl>
            <c:dLbl>
              <c:idx val="3"/>
              <c:layout>
                <c:manualLayout>
                  <c:x val="-1.0596180096188582E-2"/>
                  <c:y val="8.5849000145340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64-4550-992F-32E3717005FC}"/>
                </c:ext>
              </c:extLst>
            </c:dLbl>
            <c:dLbl>
              <c:idx val="4"/>
              <c:layout>
                <c:manualLayout>
                  <c:x val="-6.6008222337700956E-2"/>
                  <c:y val="-1.2620368707983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64-4550-992F-32E3717005FC}"/>
                </c:ext>
              </c:extLst>
            </c:dLbl>
            <c:dLbl>
              <c:idx val="5"/>
              <c:layout>
                <c:manualLayout>
                  <c:x val="0.14778371065517654"/>
                  <c:y val="-2.8875665786076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A64-4550-992F-32E371700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озрахунки_витрат_-ЗОШ__БЮДЖЕТ_на_2021-09-12-20.xls]Прогноз-Доходи-2021'!$M$37:$M$39,'[Розрахунки_витрат_-ЗОШ__БЮДЖЕТ_на_2021-09-12-20.xls]Прогноз-Доходи-2021'!$M$41,'[Розрахунки_витрат_-ЗОШ__БЮДЖЕТ_на_2021-09-12-20.xls]Прогноз-Доходи-2021'!$M$44,'[Розрахунки_витрат_-ЗОШ__БЮДЖЕТ_на_2021-09-12-20.xls]Прогноз-Доходи-2021'!$M$45</c:f>
              <c:strCache>
                <c:ptCount val="6"/>
                <c:pt idx="0">
                  <c:v>Власні надходження - 63657,20 тис. грн.</c:v>
                </c:pt>
                <c:pt idx="1">
                  <c:v>Базова дотація - 15851,80 тис.грн.</c:v>
                </c:pt>
                <c:pt idx="2">
                  <c:v>Додаткова дотація - 3061,60 тис. грн.</c:v>
                </c:pt>
                <c:pt idx="3">
                  <c:v>Освітня субвенція - 47537,00 тис. грн.</c:v>
                </c:pt>
                <c:pt idx="4">
                  <c:v>Екологічний податок - 10,0 тис .грн.</c:v>
                </c:pt>
                <c:pt idx="5">
                  <c:v>Платні послуги - 5000,00 тис. грн.</c:v>
                </c:pt>
              </c:strCache>
            </c:strRef>
          </c:cat>
          <c:val>
            <c:numRef>
              <c:f>'[Розрахунки_витрат_-ЗОШ__БЮДЖЕТ_на_2021-09-12-20.xls]Прогноз-Доходи-2021'!$Q$37:$Q$39,'[Розрахунки_витрат_-ЗОШ__БЮДЖЕТ_на_2021-09-12-20.xls]Прогноз-Доходи-2021'!$Q$41,'[Розрахунки_витрат_-ЗОШ__БЮДЖЕТ_на_2021-09-12-20.xls]Прогноз-Доходи-2021'!$Q$44,'[Розрахунки_витрат_-ЗОШ__БЮДЖЕТ_на_2021-09-12-20.xls]Прогноз-Доходи-2021'!$Q$45</c:f>
              <c:numCache>
                <c:formatCode>0.00%</c:formatCode>
                <c:ptCount val="6"/>
                <c:pt idx="0">
                  <c:v>0.47112650517699473</c:v>
                </c:pt>
                <c:pt idx="1">
                  <c:v>0.1173190642184181</c:v>
                </c:pt>
                <c:pt idx="2">
                  <c:v>2.2654440225878314E-2</c:v>
                </c:pt>
                <c:pt idx="3">
                  <c:v>0.3518210143801298</c:v>
                </c:pt>
                <c:pt idx="4">
                  <c:v>7.4009932132892238E-5</c:v>
                </c:pt>
                <c:pt idx="5">
                  <c:v>3.700496606644612E-2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64-4550-992F-32E371700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502799102283003"/>
          <c:y val="0.72838032903067795"/>
          <c:w val="0.66994385632002307"/>
          <c:h val="0.27161967096932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2020-12-10T14:32:00Z</dcterms:created>
  <dcterms:modified xsi:type="dcterms:W3CDTF">2020-12-10T14:32:00Z</dcterms:modified>
</cp:coreProperties>
</file>